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CF162" w14:textId="77777777" w:rsidR="00B8511F" w:rsidRPr="00BC5805" w:rsidRDefault="00B8511F" w:rsidP="00B8511F">
      <w:pPr>
        <w:pStyle w:val="2"/>
        <w:rPr>
          <w:rFonts w:ascii="Times New Roman" w:hAnsi="Times New Roman" w:cs="Times New Roman"/>
          <w:color w:val="000000" w:themeColor="text1"/>
          <w:sz w:val="28"/>
          <w:szCs w:val="28"/>
        </w:rPr>
      </w:pPr>
      <w:r w:rsidRPr="00BC5805">
        <w:rPr>
          <w:rFonts w:ascii="Times New Roman" w:hAnsi="Times New Roman" w:cs="Times New Roman" w:hint="eastAsia"/>
          <w:color w:val="000000" w:themeColor="text1"/>
          <w:sz w:val="28"/>
          <w:szCs w:val="28"/>
        </w:rPr>
        <w:t>Example of Line Graph Conversion</w:t>
      </w:r>
    </w:p>
    <w:p w14:paraId="7045159D" w14:textId="363F9EF4" w:rsidR="00B8511F" w:rsidRPr="00541AFC" w:rsidRDefault="00B8511F" w:rsidP="00B8511F">
      <w:pPr>
        <w:pStyle w:val="af"/>
      </w:pPr>
      <w:r w:rsidRPr="00541AFC">
        <w:rPr>
          <w:color w:val="000000" w:themeColor="text1"/>
        </w:rPr>
        <w:t xml:space="preserve">Fig. </w:t>
      </w:r>
      <w:r>
        <w:rPr>
          <w:rFonts w:hint="eastAsia"/>
          <w:color w:val="000000" w:themeColor="text1"/>
          <w:lang w:eastAsia="zh-CN"/>
        </w:rPr>
        <w:t>1</w:t>
      </w:r>
      <w:r>
        <w:rPr>
          <w:rFonts w:hint="eastAsia"/>
          <w:color w:val="000000" w:themeColor="text1"/>
          <w:lang w:eastAsia="zh-CN"/>
        </w:rPr>
        <w:t xml:space="preserve"> </w:t>
      </w:r>
      <w:r w:rsidRPr="00541AFC">
        <w:t>illustrates an example of this transformation: the original graph contains five vertices and six edges, so the corresponding line graph consists of six nodes. For instance, in the line graph, node</w:t>
      </w:r>
      <w:r w:rsidRPr="00541AFC">
        <w:rPr>
          <w:position w:val="-6"/>
        </w:rPr>
        <w:object w:dxaOrig="440" w:dyaOrig="200" w14:anchorId="380B5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1.5pt;height:9pt" o:ole="">
            <v:imagedata r:id="rId8" o:title=""/>
          </v:shape>
          <o:OLEObject Type="Embed" ProgID="Equation.DSMT4" ShapeID="_x0000_i1035" DrawAspect="Content" ObjectID="_1821948678" r:id="rId9"/>
        </w:object>
      </w:r>
      <w:r w:rsidRPr="00541AFC">
        <w:t>(corresponding to edge</w:t>
      </w:r>
      <w:r w:rsidRPr="00541AFC">
        <w:rPr>
          <w:position w:val="-6"/>
        </w:rPr>
        <w:object w:dxaOrig="440" w:dyaOrig="200" w14:anchorId="25A5A317">
          <v:shape id="_x0000_i1036" type="#_x0000_t75" style="width:21.5pt;height:9pt" o:ole="">
            <v:imagedata r:id="rId10" o:title=""/>
          </v:shape>
          <o:OLEObject Type="Embed" ProgID="Equation.DSMT4" ShapeID="_x0000_i1036" DrawAspect="Content" ObjectID="_1821948679" r:id="rId11"/>
        </w:object>
      </w:r>
      <w:r w:rsidRPr="00541AFC">
        <w:t>in the original graph) is connected to node</w:t>
      </w:r>
      <w:r w:rsidRPr="00541AFC">
        <w:rPr>
          <w:position w:val="-6"/>
        </w:rPr>
        <w:object w:dxaOrig="460" w:dyaOrig="260" w14:anchorId="5E6E6DB0">
          <v:shape id="_x0000_i1037" type="#_x0000_t75" style="width:23.5pt;height:14pt" o:ole="">
            <v:imagedata r:id="rId12" o:title=""/>
          </v:shape>
          <o:OLEObject Type="Embed" ProgID="Equation.DSMT4" ShapeID="_x0000_i1037" DrawAspect="Content" ObjectID="_1821948680" r:id="rId13"/>
        </w:object>
      </w:r>
      <w:r w:rsidRPr="00541AFC">
        <w:t>(corresponding to edge</w:t>
      </w:r>
      <w:r w:rsidRPr="00541AFC">
        <w:rPr>
          <w:position w:val="-6"/>
        </w:rPr>
        <w:object w:dxaOrig="460" w:dyaOrig="260" w14:anchorId="4D72EBF4">
          <v:shape id="_x0000_i1038" type="#_x0000_t75" style="width:23.5pt;height:14pt" o:ole="">
            <v:imagedata r:id="rId14" o:title=""/>
          </v:shape>
          <o:OLEObject Type="Embed" ProgID="Equation.DSMT4" ShapeID="_x0000_i1038" DrawAspect="Content" ObjectID="_1821948681" r:id="rId15"/>
        </w:object>
      </w:r>
      <w:r w:rsidRPr="00541AFC">
        <w:t>), because they share vertex</w:t>
      </w:r>
      <w:r w:rsidRPr="00541AFC">
        <w:rPr>
          <w:position w:val="-6"/>
        </w:rPr>
        <w:object w:dxaOrig="160" w:dyaOrig="200" w14:anchorId="4CD2C283">
          <v:shape id="_x0000_i1039" type="#_x0000_t75" style="width:9pt;height:9pt" o:ole="">
            <v:imagedata r:id="rId16" o:title=""/>
          </v:shape>
          <o:OLEObject Type="Embed" ProgID="Equation.DSMT4" ShapeID="_x0000_i1039" DrawAspect="Content" ObjectID="_1821948682" r:id="rId17"/>
        </w:object>
      </w:r>
      <w:r w:rsidRPr="00541AFC">
        <w:t>in the original graph. It can also be observed that the transformation process has linear time complexity.</w:t>
      </w:r>
    </w:p>
    <w:p w14:paraId="255B2026" w14:textId="77777777" w:rsidR="00B8511F" w:rsidRPr="00541AFC" w:rsidRDefault="00B8511F" w:rsidP="00B8511F">
      <w:pPr>
        <w:rPr>
          <w:rFonts w:ascii="Times New Roman" w:hAnsi="Times New Roman" w:cs="Times New Roman"/>
          <w:lang w:val="x-none"/>
        </w:rPr>
      </w:pPr>
      <w:r>
        <w:rPr>
          <w:noProof/>
        </w:rPr>
        <w:drawing>
          <wp:inline distT="0" distB="0" distL="0" distR="0" wp14:anchorId="27ED6173" wp14:editId="58C040C8">
            <wp:extent cx="2735565" cy="1063530"/>
            <wp:effectExtent l="0" t="0" r="8255" b="3810"/>
            <wp:docPr id="2059910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9152" cy="1064925"/>
                    </a:xfrm>
                    <a:prstGeom prst="rect">
                      <a:avLst/>
                    </a:prstGeom>
                    <a:noFill/>
                    <a:ln>
                      <a:noFill/>
                    </a:ln>
                  </pic:spPr>
                </pic:pic>
              </a:graphicData>
            </a:graphic>
          </wp:inline>
        </w:drawing>
      </w:r>
    </w:p>
    <w:p w14:paraId="33ED0BE0" w14:textId="77777777" w:rsidR="00B8511F" w:rsidRPr="00541AFC" w:rsidRDefault="00B8511F" w:rsidP="00B8511F">
      <w:pPr>
        <w:pStyle w:val="figurecaption"/>
        <w:ind w:left="0" w:firstLine="0"/>
        <w:rPr>
          <w:lang w:eastAsia="zh-CN"/>
        </w:rPr>
      </w:pPr>
      <w:r w:rsidRPr="00541AFC">
        <w:t>Line graph construction schematic diagram. Each node in the line graph corresponds to a unique edge in the original graph and is annotated with its two endpoints</w:t>
      </w:r>
    </w:p>
    <w:p w14:paraId="553C6158" w14:textId="524CDB8B"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107E3823"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lastRenderedPageBreak/>
              <w:t>mDC</w:t>
            </w:r>
            <w:proofErr w:type="spellEnd"/>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hESC</w:t>
            </w:r>
            <w:proofErr w:type="spellEnd"/>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hHEP</w:t>
            </w:r>
            <w:proofErr w:type="spellEnd"/>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mDC</w:t>
            </w:r>
            <w:proofErr w:type="spellEnd"/>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mESC</w:t>
            </w:r>
            <w:proofErr w:type="spellEnd"/>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proofErr w:type="spellStart"/>
            <w:r w:rsidRPr="00541AFC">
              <w:rPr>
                <w:rFonts w:ascii="Times New Roman" w:hAnsi="Times New Roman" w:cs="Times New Roman"/>
                <w:b/>
                <w:bCs/>
                <w:sz w:val="15"/>
                <w:szCs w:val="15"/>
              </w:rPr>
              <w:t>mHSC</w:t>
            </w:r>
            <w:proofErr w:type="spellEnd"/>
            <w:r w:rsidRPr="00541AFC">
              <w:rPr>
                <w:rFonts w:ascii="Times New Roman" w:hAnsi="Times New Roman" w:cs="Times New Roman"/>
                <w:b/>
                <w:bCs/>
                <w:sz w:val="15"/>
                <w:szCs w:val="15"/>
              </w:rPr>
              <w:t>-L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0FC25173" w14:textId="16302394" w:rsidR="00D139A7" w:rsidRPr="00541AFC" w:rsidRDefault="00D139A7">
      <w:pPr>
        <w:rPr>
          <w:rFonts w:ascii="Times New Roman" w:hAnsi="Times New Roman" w:cs="Times New Roman" w:hint="eastAsia"/>
        </w:rPr>
      </w:pP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3D0876AC" w:rsidR="00D139A7" w:rsidRPr="00541AFC" w:rsidRDefault="00D139A7" w:rsidP="00D139A7">
      <w:pPr>
        <w:pStyle w:val="af"/>
      </w:pPr>
      <w:r w:rsidRPr="00541AFC">
        <w:t>The results are shown in</w:t>
      </w:r>
      <w:r w:rsidRPr="00541AFC">
        <w:rPr>
          <w:lang w:eastAsia="zh-CN"/>
        </w:rPr>
        <w:t xml:space="preserve"> Fig. </w:t>
      </w:r>
      <w:r w:rsidR="00541AFC">
        <w:rPr>
          <w:rFonts w:hint="eastAsia"/>
          <w:lang w:eastAsia="zh-CN"/>
        </w:rPr>
        <w:t>2</w:t>
      </w:r>
      <w:r w:rsidRPr="00541AFC">
        <w:t xml:space="preserve">.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 </w:t>
      </w:r>
      <w:r w:rsidRPr="00541AFC">
        <w:rPr>
          <w:lang w:eastAsia="zh-CN"/>
        </w:rPr>
        <w:t xml:space="preserve">Fig. </w:t>
      </w:r>
      <w:r w:rsidR="00FB5CBA">
        <w:rPr>
          <w:rFonts w:hint="eastAsia"/>
          <w:lang w:eastAsia="zh-CN"/>
        </w:rPr>
        <w:t>2</w:t>
      </w:r>
      <w:r w:rsidRPr="00541AFC">
        <w:t xml:space="preserve"> shows learning rate tuning results. Performance remains stable across most datasets despite learning rate variations. Only on the </w:t>
      </w:r>
      <w:proofErr w:type="spellStart"/>
      <w:r w:rsidRPr="00541AFC">
        <w:t>mDC</w:t>
      </w:r>
      <w:proofErr w:type="spellEnd"/>
      <w:r w:rsidRPr="00541AFC">
        <w:t xml:space="preserve">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19">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lastRenderedPageBreak/>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t>Embedding clustering</w:t>
      </w:r>
    </w:p>
    <w:p w14:paraId="0D4B00EB" w14:textId="540D0054"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w:t>
      </w:r>
      <w:proofErr w:type="spellStart"/>
      <w:r w:rsidRPr="00541AFC">
        <w:rPr>
          <w:color w:val="000000" w:themeColor="text1"/>
        </w:rPr>
        <w:t>LGATFormer</w:t>
      </w:r>
      <w:proofErr w:type="spellEnd"/>
      <w:r w:rsidRPr="00541AFC">
        <w:rPr>
          <w:color w:val="000000" w:themeColor="text1"/>
        </w:rPr>
        <w:t xml:space="preserve">, we utilized t-distributed stochastic neighbor embedding (t-SNE) for visualization in a low-dimensional space. As shown in the first two columns of Fig. </w:t>
      </w:r>
      <w:r w:rsidR="00BC5805">
        <w:rPr>
          <w:rFonts w:hint="eastAsia"/>
          <w:color w:val="000000" w:themeColor="text1"/>
          <w:lang w:eastAsia="zh-CN"/>
        </w:rPr>
        <w:t>3</w:t>
      </w:r>
      <w:r w:rsidRPr="00541AFC">
        <w:rPr>
          <w:color w:val="000000" w:themeColor="text1"/>
        </w:rPr>
        <w:t xml:space="preserve">,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w:t>
      </w:r>
      <w:proofErr w:type="spellStart"/>
      <w:r w:rsidRPr="00541AFC">
        <w:rPr>
          <w:color w:val="000000" w:themeColor="text1"/>
        </w:rPr>
        <w:t>hESC</w:t>
      </w:r>
      <w:proofErr w:type="spellEnd"/>
      <w:r w:rsidRPr="00541AFC">
        <w:rPr>
          <w:color w:val="000000" w:themeColor="text1"/>
        </w:rPr>
        <w:t xml:space="preserve"> dataset from STRING networks and the middle column showing the </w:t>
      </w:r>
      <w:proofErr w:type="spellStart"/>
      <w:r w:rsidRPr="00541AFC">
        <w:rPr>
          <w:color w:val="000000" w:themeColor="text1"/>
        </w:rPr>
        <w:t>mDC</w:t>
      </w:r>
      <w:proofErr w:type="spellEnd"/>
      <w:r w:rsidRPr="00541AFC">
        <w:rPr>
          <w:color w:val="000000" w:themeColor="text1"/>
        </w:rPr>
        <w:t xml:space="preserve"> dataset from Non-Specific networks. The embedded representations display significantly improved separability in class distribution compared to the original input, with clear inter-class boundaries and distinct intra-class clustering. This demonstrates that </w:t>
      </w:r>
      <w:proofErr w:type="spellStart"/>
      <w:r w:rsidRPr="00541AFC">
        <w:rPr>
          <w:color w:val="000000" w:themeColor="text1"/>
        </w:rPr>
        <w:t>LGATFormer</w:t>
      </w:r>
      <w:proofErr w:type="spellEnd"/>
      <w:r w:rsidRPr="00541AFC">
        <w:rPr>
          <w:color w:val="000000" w:themeColor="text1"/>
        </w:rPr>
        <w:t xml:space="preserve"> effectively captures and separates regulatory features in the embedding space.</w:t>
      </w:r>
    </w:p>
    <w:p w14:paraId="7031AD53" w14:textId="3A09350F"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t xml:space="preserve">Additionally, we selected two TFs (EP300 and TRP53) along with their corresponding target genes from the </w:t>
      </w:r>
      <w:proofErr w:type="spellStart"/>
      <w:r w:rsidRPr="00541AFC">
        <w:rPr>
          <w:rFonts w:ascii="Times New Roman" w:hAnsi="Times New Roman" w:cs="Times New Roman"/>
        </w:rPr>
        <w:t>hESC</w:t>
      </w:r>
      <w:proofErr w:type="spellEnd"/>
      <w:r w:rsidRPr="00541AFC">
        <w:rPr>
          <w:rFonts w:ascii="Times New Roman" w:hAnsi="Times New Roman" w:cs="Times New Roman"/>
        </w:rPr>
        <w:t xml:space="preserve"> dataset in STRING networks to achieve gene-level clustering visualization, as illustrated in the right column of </w:t>
      </w:r>
      <w:r w:rsidR="00BC5805">
        <w:rPr>
          <w:rFonts w:ascii="Times New Roman" w:hAnsi="Times New Roman" w:cs="Times New Roman" w:hint="eastAsia"/>
        </w:rPr>
        <w:t>Fig. 3</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 xml:space="preserve">In the case of TRP53, the distribution is more spread out but still shows a clear clustering tendency. These results indicate that </w:t>
      </w:r>
      <w:proofErr w:type="spellStart"/>
      <w:r w:rsidRPr="00541AFC">
        <w:rPr>
          <w:rFonts w:ascii="Times New Roman" w:hAnsi="Times New Roman" w:cs="Times New Roman"/>
          <w:color w:val="000000" w:themeColor="text1"/>
        </w:rPr>
        <w:t>LGATFormer</w:t>
      </w:r>
      <w:proofErr w:type="spellEnd"/>
      <w:r w:rsidRPr="00541AFC">
        <w:rPr>
          <w:rFonts w:ascii="Times New Roman" w:hAnsi="Times New Roman" w:cs="Times New Roman"/>
          <w:color w:val="000000" w:themeColor="text1"/>
        </w:rPr>
        <w:t xml:space="preserve">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lastRenderedPageBreak/>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4AE2122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p w14:paraId="364A255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Ground-truth,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xml:space="preserve">, </w:t>
            </w: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Cistrome</w:t>
            </w:r>
            <w:proofErr w:type="spellEnd"/>
            <w:r w:rsidRPr="00BD32F2">
              <w:rPr>
                <w:rFonts w:ascii="Times New Roman" w:hAnsi="Times New Roman" w:cs="Times New Roman"/>
                <w:sz w:val="16"/>
                <w:szCs w:val="16"/>
              </w:rPr>
              <w:t xml:space="preserv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proofErr w:type="spellStart"/>
            <w:r w:rsidRPr="00BD32F2">
              <w:rPr>
                <w:rFonts w:ascii="Times New Roman" w:hAnsi="Times New Roman" w:cs="Times New Roman"/>
                <w:sz w:val="16"/>
                <w:szCs w:val="16"/>
              </w:rPr>
              <w:t>hTFtarget</w:t>
            </w:r>
            <w:proofErr w:type="spellEnd"/>
            <w:r w:rsidRPr="00BD32F2">
              <w:rPr>
                <w:rFonts w:ascii="Times New Roman" w:hAnsi="Times New Roman" w:cs="Times New Roman"/>
                <w:sz w:val="16"/>
                <w:szCs w:val="16"/>
              </w:rPr>
              <w:t>, Ground-truth</w:t>
            </w:r>
          </w:p>
        </w:tc>
      </w:tr>
    </w:tbl>
    <w:p w14:paraId="5F3E5728" w14:textId="77777777" w:rsidR="00BD32F2" w:rsidRDefault="00BD32F2" w:rsidP="00BD32F2"/>
    <w:p w14:paraId="37A4413F" w14:textId="77777777" w:rsidR="00B8511F" w:rsidRPr="00541AFC" w:rsidRDefault="00B8511F" w:rsidP="00B8511F">
      <w:pPr>
        <w:pStyle w:val="2"/>
        <w:rPr>
          <w:rFonts w:ascii="Times New Roman" w:hAnsi="Times New Roman" w:cs="Times New Roman"/>
          <w:color w:val="000000" w:themeColor="text1"/>
          <w:sz w:val="28"/>
          <w:szCs w:val="28"/>
        </w:rPr>
      </w:pPr>
      <w:r w:rsidRPr="008F65D6">
        <w:rPr>
          <w:rFonts w:ascii="Times New Roman" w:hAnsi="Times New Roman" w:cs="Times New Roman" w:hint="eastAsia"/>
          <w:color w:val="000000" w:themeColor="text1"/>
          <w:sz w:val="28"/>
          <w:szCs w:val="28"/>
        </w:rPr>
        <w:t>Model parameters</w:t>
      </w:r>
    </w:p>
    <w:tbl>
      <w:tblPr>
        <w:tblStyle w:val="ae"/>
        <w:tblW w:w="5000" w:type="pct"/>
        <w:tblLook w:val="04A0" w:firstRow="1" w:lastRow="0" w:firstColumn="1" w:lastColumn="0" w:noHBand="0" w:noVBand="1"/>
      </w:tblPr>
      <w:tblGrid>
        <w:gridCol w:w="5155"/>
        <w:gridCol w:w="3141"/>
      </w:tblGrid>
      <w:tr w:rsidR="00B8511F" w14:paraId="550DC6A7" w14:textId="77777777" w:rsidTr="008B4642">
        <w:tc>
          <w:tcPr>
            <w:tcW w:w="3107" w:type="pct"/>
          </w:tcPr>
          <w:p w14:paraId="3367D824" w14:textId="77777777" w:rsidR="00B8511F" w:rsidRDefault="00B8511F" w:rsidP="008B4642">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31DBB725" w14:textId="77777777" w:rsidR="00B8511F" w:rsidRDefault="00B8511F" w:rsidP="008B4642">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B8511F" w14:paraId="2A0FB7A9" w14:textId="77777777" w:rsidTr="008B4642">
        <w:tc>
          <w:tcPr>
            <w:tcW w:w="3107" w:type="pct"/>
          </w:tcPr>
          <w:p w14:paraId="0C8AE810" w14:textId="77777777" w:rsidR="00B8511F" w:rsidRDefault="00B8511F" w:rsidP="008B4642">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47F556CC" w14:textId="77777777" w:rsidR="00B8511F" w:rsidRDefault="00B8511F" w:rsidP="008B4642">
            <w:pPr>
              <w:rPr>
                <w:rFonts w:ascii="Times New Roman" w:hAnsi="Times New Roman" w:cs="Times New Roman"/>
              </w:rPr>
            </w:pPr>
            <w:r>
              <w:rPr>
                <w:rFonts w:ascii="Times New Roman" w:hAnsi="Times New Roman" w:cs="Times New Roman" w:hint="eastAsia"/>
              </w:rPr>
              <w:t>3</w:t>
            </w:r>
          </w:p>
        </w:tc>
      </w:tr>
      <w:tr w:rsidR="00B8511F" w14:paraId="3817BA74" w14:textId="77777777" w:rsidTr="008B4642">
        <w:tc>
          <w:tcPr>
            <w:tcW w:w="3107" w:type="pct"/>
          </w:tcPr>
          <w:p w14:paraId="3805A949" w14:textId="77777777" w:rsidR="00B8511F" w:rsidRDefault="00B8511F" w:rsidP="008B4642">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C3C15A8" w14:textId="77777777" w:rsidR="00B8511F" w:rsidRDefault="00B8511F" w:rsidP="008B4642">
            <w:pPr>
              <w:rPr>
                <w:rFonts w:ascii="Times New Roman" w:hAnsi="Times New Roman" w:cs="Times New Roman"/>
              </w:rPr>
            </w:pPr>
            <w:r>
              <w:rPr>
                <w:rFonts w:ascii="Times New Roman" w:hAnsi="Times New Roman" w:cs="Times New Roman" w:hint="eastAsia"/>
              </w:rPr>
              <w:t>2</w:t>
            </w:r>
          </w:p>
        </w:tc>
      </w:tr>
      <w:tr w:rsidR="00B8511F" w14:paraId="6C846D3E" w14:textId="77777777" w:rsidTr="008B4642">
        <w:tc>
          <w:tcPr>
            <w:tcW w:w="3107" w:type="pct"/>
          </w:tcPr>
          <w:p w14:paraId="0158C79D" w14:textId="77777777" w:rsidR="00B8511F" w:rsidRDefault="00B8511F" w:rsidP="008B4642">
            <w:pPr>
              <w:rPr>
                <w:rFonts w:ascii="Times New Roman" w:hAnsi="Times New Roman" w:cs="Times New Roman"/>
              </w:rPr>
            </w:pPr>
            <w:r w:rsidRPr="005B7EB8">
              <w:rPr>
                <w:rFonts w:ascii="Times New Roman" w:hAnsi="Times New Roman" w:cs="Times New Roman" w:hint="eastAsia"/>
              </w:rPr>
              <w:t>Output dimension of each GAT layer</w:t>
            </w:r>
          </w:p>
        </w:tc>
        <w:tc>
          <w:tcPr>
            <w:tcW w:w="1893" w:type="pct"/>
          </w:tcPr>
          <w:p w14:paraId="45EE92D9" w14:textId="77777777" w:rsidR="00B8511F" w:rsidRDefault="00B8511F" w:rsidP="008B4642">
            <w:pPr>
              <w:rPr>
                <w:rFonts w:ascii="Times New Roman" w:hAnsi="Times New Roman" w:cs="Times New Roman"/>
              </w:rPr>
            </w:pPr>
            <w:r>
              <w:rPr>
                <w:rFonts w:ascii="Times New Roman" w:hAnsi="Times New Roman" w:cs="Times New Roman" w:hint="eastAsia"/>
              </w:rPr>
              <w:t>32</w:t>
            </w:r>
          </w:p>
        </w:tc>
      </w:tr>
      <w:tr w:rsidR="00B8511F" w14:paraId="6D920C99" w14:textId="77777777" w:rsidTr="008B4642">
        <w:tc>
          <w:tcPr>
            <w:tcW w:w="3107" w:type="pct"/>
          </w:tcPr>
          <w:p w14:paraId="2F5FC3BC" w14:textId="77777777" w:rsidR="00B8511F" w:rsidRDefault="00B8511F" w:rsidP="008B4642">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07E4BF78" w14:textId="77777777" w:rsidR="00B8511F" w:rsidRPr="005B7EB8" w:rsidRDefault="00B8511F" w:rsidP="008B4642">
            <w:pPr>
              <w:rPr>
                <w:rFonts w:ascii="Times New Roman" w:hAnsi="Times New Roman" w:cs="Times New Roman"/>
              </w:rPr>
            </w:pPr>
            <w:r>
              <w:rPr>
                <w:rFonts w:ascii="Times New Roman" w:hAnsi="Times New Roman" w:cs="Times New Roman" w:hint="eastAsia"/>
              </w:rPr>
              <w:t>4</w:t>
            </w:r>
          </w:p>
        </w:tc>
      </w:tr>
    </w:tbl>
    <w:p w14:paraId="6F30A12D" w14:textId="77777777" w:rsidR="00B8511F" w:rsidRPr="00BD32F2" w:rsidRDefault="00B8511F" w:rsidP="00BD32F2">
      <w:pPr>
        <w:rPr>
          <w:rFonts w:hint="eastAsia"/>
        </w:rPr>
      </w:pPr>
    </w:p>
    <w:sectPr w:rsidR="00B8511F"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D75E5" w14:textId="77777777" w:rsidR="00E875FC" w:rsidRDefault="00E875FC" w:rsidP="00674942">
      <w:pPr>
        <w:rPr>
          <w:rFonts w:hint="eastAsia"/>
        </w:rPr>
      </w:pPr>
      <w:r>
        <w:separator/>
      </w:r>
    </w:p>
  </w:endnote>
  <w:endnote w:type="continuationSeparator" w:id="0">
    <w:p w14:paraId="6A135628" w14:textId="77777777" w:rsidR="00E875FC" w:rsidRDefault="00E875FC"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1256C" w14:textId="77777777" w:rsidR="00E875FC" w:rsidRDefault="00E875FC" w:rsidP="00674942">
      <w:pPr>
        <w:rPr>
          <w:rFonts w:hint="eastAsia"/>
        </w:rPr>
      </w:pPr>
      <w:r>
        <w:separator/>
      </w:r>
    </w:p>
  </w:footnote>
  <w:footnote w:type="continuationSeparator" w:id="0">
    <w:p w14:paraId="1CECA572" w14:textId="77777777" w:rsidR="00E875FC" w:rsidRDefault="00E875FC"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2D4B38"/>
    <w:rsid w:val="002E55E8"/>
    <w:rsid w:val="00383FFD"/>
    <w:rsid w:val="00431168"/>
    <w:rsid w:val="00541AFC"/>
    <w:rsid w:val="005B7EB8"/>
    <w:rsid w:val="005D5A2E"/>
    <w:rsid w:val="00626EF8"/>
    <w:rsid w:val="00627304"/>
    <w:rsid w:val="00674942"/>
    <w:rsid w:val="00686277"/>
    <w:rsid w:val="006B01C3"/>
    <w:rsid w:val="00710096"/>
    <w:rsid w:val="008279DA"/>
    <w:rsid w:val="00837D16"/>
    <w:rsid w:val="008F65D6"/>
    <w:rsid w:val="009E5AE0"/>
    <w:rsid w:val="00B1717C"/>
    <w:rsid w:val="00B27068"/>
    <w:rsid w:val="00B33D2D"/>
    <w:rsid w:val="00B8511F"/>
    <w:rsid w:val="00BC5805"/>
    <w:rsid w:val="00BD32F2"/>
    <w:rsid w:val="00C20E4B"/>
    <w:rsid w:val="00D139A7"/>
    <w:rsid w:val="00E02A48"/>
    <w:rsid w:val="00E875FC"/>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10" Type="http://schemas.openxmlformats.org/officeDocument/2006/relationships/image" Target="media/image2.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5</Pages>
  <Words>1568</Words>
  <Characters>8938</Characters>
  <Application>Microsoft Office Word</Application>
  <DocSecurity>0</DocSecurity>
  <Lines>74</Lines>
  <Paragraphs>20</Paragraphs>
  <ScaleCrop>false</ScaleCrop>
  <Company/>
  <LinksUpToDate>false</LinksUpToDate>
  <CharactersWithSpaces>10486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8</cp:revision>
  <dcterms:created xsi:type="dcterms:W3CDTF">2025-10-09T12:57:00Z</dcterms:created>
  <dcterms:modified xsi:type="dcterms:W3CDTF">2025-10-14T03:56:00Z</dcterms:modified>
</cp:coreProperties>
</file>